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1792" w14:textId="6457C215" w:rsidR="00313D02" w:rsidRDefault="00313D02" w:rsidP="009070FB">
      <w:pPr>
        <w:pStyle w:val="BodyText"/>
        <w:numPr>
          <w:ilvl w:val="0"/>
          <w:numId w:val="4"/>
        </w:numPr>
        <w:spacing w:before="240"/>
        <w:ind w:left="357" w:hanging="357"/>
        <w:jc w:val="both"/>
      </w:pPr>
      <w:r>
        <w:t xml:space="preserve">The Queensland Government is committed to continuing to implement the significant reform agenda proposed by the Royal Commission into Institutional Responses to Child Sexual Abuse (Royal Commission). This includes </w:t>
      </w:r>
      <w:r w:rsidRPr="0059353A">
        <w:t xml:space="preserve">better prevention and responses to child sexual abuse and improved support and access to justice for those with lived experience of </w:t>
      </w:r>
      <w:r>
        <w:t>institutional child sexual abuse</w:t>
      </w:r>
      <w:r w:rsidRPr="0059353A">
        <w:t>.</w:t>
      </w:r>
    </w:p>
    <w:p w14:paraId="16AE7503" w14:textId="1E8583AD" w:rsidR="00EB362A" w:rsidRDefault="00863554" w:rsidP="009070FB">
      <w:pPr>
        <w:pStyle w:val="BodyText"/>
        <w:numPr>
          <w:ilvl w:val="0"/>
          <w:numId w:val="4"/>
        </w:numPr>
        <w:spacing w:before="240"/>
        <w:ind w:left="357" w:hanging="357"/>
        <w:jc w:val="both"/>
      </w:pPr>
      <w:r>
        <w:t>The</w:t>
      </w:r>
      <w:r w:rsidR="00837FAE" w:rsidRPr="00837FAE">
        <w:t xml:space="preserve"> </w:t>
      </w:r>
      <w:r w:rsidR="00837FAE">
        <w:t>Queensland Government third Annual Report on implementation of recommendations of the Royal Commission</w:t>
      </w:r>
      <w:r>
        <w:t xml:space="preserve"> </w:t>
      </w:r>
      <w:r w:rsidR="00837FAE">
        <w:t>(</w:t>
      </w:r>
      <w:r>
        <w:t xml:space="preserve">third </w:t>
      </w:r>
      <w:r w:rsidR="00082849">
        <w:t>Annual</w:t>
      </w:r>
      <w:r>
        <w:t xml:space="preserve"> </w:t>
      </w:r>
      <w:r w:rsidR="0059353A">
        <w:t>R</w:t>
      </w:r>
      <w:r>
        <w:t>eport</w:t>
      </w:r>
      <w:r w:rsidR="00837FAE">
        <w:t>)</w:t>
      </w:r>
      <w:r>
        <w:t xml:space="preserve"> </w:t>
      </w:r>
      <w:r w:rsidR="0059353A">
        <w:t xml:space="preserve">sets out the positive progress the Queensland Government has made to implement Royal Commission recommendations over 2020, despite this work being impacted by responses to COVID-19. </w:t>
      </w:r>
    </w:p>
    <w:p w14:paraId="2F59B9DE" w14:textId="5C1FEE11" w:rsidR="00E52FA9" w:rsidRDefault="0059353A" w:rsidP="009070FB">
      <w:pPr>
        <w:pStyle w:val="BodyText"/>
        <w:numPr>
          <w:ilvl w:val="0"/>
          <w:numId w:val="4"/>
        </w:numPr>
        <w:spacing w:before="240"/>
        <w:ind w:left="357" w:hanging="357"/>
        <w:jc w:val="both"/>
      </w:pPr>
      <w:r>
        <w:t xml:space="preserve">The </w:t>
      </w:r>
      <w:r w:rsidR="00313D02">
        <w:t>r</w:t>
      </w:r>
      <w:r>
        <w:t xml:space="preserve">eport outlines </w:t>
      </w:r>
      <w:r w:rsidR="00313D02">
        <w:t>k</w:t>
      </w:r>
      <w:r w:rsidR="00A00FD2">
        <w:t xml:space="preserve">ey achievements </w:t>
      </w:r>
      <w:r w:rsidR="00EB362A">
        <w:t>includ</w:t>
      </w:r>
      <w:r w:rsidR="00313D02">
        <w:t>ing</w:t>
      </w:r>
      <w:r w:rsidR="00EB362A">
        <w:t xml:space="preserve">: </w:t>
      </w:r>
    </w:p>
    <w:p w14:paraId="0432BB52" w14:textId="6936A715" w:rsidR="00EE6682" w:rsidRDefault="00A00FD2" w:rsidP="00B16AD9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t xml:space="preserve">Parliament passing the </w:t>
      </w:r>
      <w:r w:rsidRPr="00A00FD2">
        <w:rPr>
          <w:i/>
          <w:iCs/>
        </w:rPr>
        <w:t>Criminal Code (Child Sexual Offences Reform) and Other Legislation Amendment Act 2020</w:t>
      </w:r>
      <w:r w:rsidR="00156EDE">
        <w:rPr>
          <w:i/>
          <w:iCs/>
        </w:rPr>
        <w:t>,</w:t>
      </w:r>
      <w:r>
        <w:t xml:space="preserve"> which implements key Criminal Justice Report recommendations, including new offences to better protect children today </w:t>
      </w:r>
    </w:p>
    <w:p w14:paraId="464A947D" w14:textId="5758ABA4" w:rsidR="00EB362A" w:rsidRDefault="004E103A" w:rsidP="00B16AD9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>
        <w:t xml:space="preserve">Queensland Government </w:t>
      </w:r>
      <w:r w:rsidR="00EE6682">
        <w:t xml:space="preserve">progress on strengthening child safe approaches, including the release of the Department of Education’s </w:t>
      </w:r>
      <w:r w:rsidR="00EE6682">
        <w:rPr>
          <w:i/>
          <w:iCs/>
        </w:rPr>
        <w:t>Aware. Protective. Safe. Strategy</w:t>
      </w:r>
    </w:p>
    <w:p w14:paraId="0B960C66" w14:textId="3629979F" w:rsidR="00EB362A" w:rsidRDefault="00A00FD2" w:rsidP="00B16AD9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 w:rsidRPr="00A00FD2">
        <w:t xml:space="preserve">the Queensland State Archives’ new </w:t>
      </w:r>
      <w:r w:rsidRPr="00A00FD2">
        <w:rPr>
          <w:i/>
          <w:iCs/>
        </w:rPr>
        <w:t>Guideline on creating and keeping records for the proactive protection of vulnerable persons</w:t>
      </w:r>
      <w:r w:rsidRPr="00A00FD2">
        <w:t>, ensuring appropriate information and guidance is provided about keeping records</w:t>
      </w:r>
    </w:p>
    <w:p w14:paraId="6D8E9006" w14:textId="16C0E51A" w:rsidR="00EB362A" w:rsidRDefault="00A00FD2" w:rsidP="00B16AD9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 w:rsidRPr="00A00FD2">
        <w:t xml:space="preserve">the Queensland Police Service’s new online sexual assault reporting pathway and </w:t>
      </w:r>
      <w:r w:rsidR="00F3081F">
        <w:br/>
      </w:r>
      <w:r w:rsidRPr="00A00FD2">
        <w:t>$1.5</w:t>
      </w:r>
      <w:r w:rsidR="00313D02">
        <w:t xml:space="preserve"> </w:t>
      </w:r>
      <w:r w:rsidRPr="00A00FD2">
        <w:t>million allocat</w:t>
      </w:r>
      <w:r w:rsidR="00313D02">
        <w:t>ion</w:t>
      </w:r>
      <w:r w:rsidRPr="00A00FD2">
        <w:t xml:space="preserve"> to develop and rollout a training package to strengthen trauma-informed response</w:t>
      </w:r>
      <w:r>
        <w:t>s</w:t>
      </w:r>
      <w:r w:rsidRPr="00A00FD2">
        <w:t xml:space="preserve"> by police to sexual assault</w:t>
      </w:r>
      <w:r w:rsidR="00EB362A">
        <w:t xml:space="preserve"> </w:t>
      </w:r>
    </w:p>
    <w:p w14:paraId="48F64DC0" w14:textId="77777777" w:rsidR="006F2AE1" w:rsidRDefault="00C96213" w:rsidP="00B16AD9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 w:rsidRPr="00C96213">
        <w:t xml:space="preserve">continued national collaboration with the Federal Government, states and territories </w:t>
      </w:r>
      <w:r>
        <w:t>to support</w:t>
      </w:r>
      <w:r w:rsidRPr="00C96213">
        <w:t xml:space="preserve"> recommendations requiring national responses</w:t>
      </w:r>
    </w:p>
    <w:p w14:paraId="1BD37E6E" w14:textId="1D50678B" w:rsidR="00EB362A" w:rsidRDefault="006F2AE1" w:rsidP="00B16AD9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both"/>
      </w:pPr>
      <w:r w:rsidRPr="005E0126">
        <w:t>commencement of key reforms to enhance the blue card system, including ‘No Card, No Start’ laws and a new online application system and organisation portal</w:t>
      </w:r>
      <w:r>
        <w:t>.</w:t>
      </w:r>
    </w:p>
    <w:p w14:paraId="6F5B4C89" w14:textId="0EDE6831" w:rsidR="00EB362A" w:rsidRDefault="00EB362A" w:rsidP="009070FB">
      <w:pPr>
        <w:pStyle w:val="BodyText"/>
        <w:numPr>
          <w:ilvl w:val="0"/>
          <w:numId w:val="4"/>
        </w:numPr>
        <w:spacing w:before="240"/>
        <w:ind w:left="357" w:hanging="357"/>
        <w:jc w:val="both"/>
      </w:pPr>
      <w:r>
        <w:t>The Queensland Government has accepted or accepted</w:t>
      </w:r>
      <w:r w:rsidR="00156EDE">
        <w:t xml:space="preserve"> </w:t>
      </w:r>
      <w:r>
        <w:t>in</w:t>
      </w:r>
      <w:r w:rsidR="00156EDE">
        <w:t xml:space="preserve"> </w:t>
      </w:r>
      <w:r>
        <w:t xml:space="preserve">principle most of the recommendations relating to the Royal Commission recommended child safe standards, recognising that they represent best practice. </w:t>
      </w:r>
    </w:p>
    <w:p w14:paraId="2F7C4604" w14:textId="4C64A674" w:rsidR="00F45F00" w:rsidRDefault="007943CC" w:rsidP="009070FB">
      <w:pPr>
        <w:pStyle w:val="BodyText"/>
        <w:numPr>
          <w:ilvl w:val="0"/>
          <w:numId w:val="4"/>
        </w:numPr>
        <w:spacing w:before="240"/>
        <w:ind w:left="357" w:hanging="357"/>
        <w:jc w:val="both"/>
      </w:pPr>
      <w:r>
        <w:t xml:space="preserve">To inform the development of options for how the child safe standards </w:t>
      </w:r>
      <w:r w:rsidR="008D5F1C">
        <w:t xml:space="preserve">and a reportable conduct scheme </w:t>
      </w:r>
      <w:r>
        <w:t xml:space="preserve">could be </w:t>
      </w:r>
      <w:r w:rsidR="00DA24A3">
        <w:t>implemented</w:t>
      </w:r>
      <w:r>
        <w:t xml:space="preserve"> in Queensland, initial targeted consultation will be undertaken </w:t>
      </w:r>
      <w:r w:rsidR="00B1160B">
        <w:t xml:space="preserve">in early 2021 </w:t>
      </w:r>
      <w:r>
        <w:t>led by the Department of Children, Youth Justice and Multicultural Affairs</w:t>
      </w:r>
      <w:r w:rsidR="008D5F1C">
        <w:t xml:space="preserve"> and </w:t>
      </w:r>
      <w:r w:rsidR="00082849">
        <w:t>the Department of Justice and Attorney-General.</w:t>
      </w:r>
    </w:p>
    <w:p w14:paraId="7FF251D9" w14:textId="0449D2E0" w:rsidR="007943CC" w:rsidRDefault="00020C98" w:rsidP="009070FB">
      <w:pPr>
        <w:pStyle w:val="BodyText"/>
        <w:numPr>
          <w:ilvl w:val="0"/>
          <w:numId w:val="4"/>
        </w:numPr>
        <w:spacing w:before="240"/>
        <w:ind w:left="357" w:hanging="357"/>
        <w:jc w:val="both"/>
      </w:pPr>
      <w:r w:rsidRPr="00F270D6">
        <w:rPr>
          <w:u w:val="single"/>
        </w:rPr>
        <w:t>Cabinet</w:t>
      </w:r>
      <w:r w:rsidRPr="00F270D6">
        <w:rPr>
          <w:spacing w:val="-3"/>
          <w:u w:val="single"/>
        </w:rPr>
        <w:t xml:space="preserve"> app</w:t>
      </w:r>
      <w:r>
        <w:rPr>
          <w:spacing w:val="-3"/>
          <w:u w:val="single"/>
        </w:rPr>
        <w:t>roved</w:t>
      </w:r>
      <w:r w:rsidRPr="0027532A">
        <w:rPr>
          <w:spacing w:val="-3"/>
        </w:rPr>
        <w:t xml:space="preserve"> </w:t>
      </w:r>
      <w:r>
        <w:t>the</w:t>
      </w:r>
      <w:r w:rsidR="00E52FA9">
        <w:t xml:space="preserve"> tabling of the </w:t>
      </w:r>
      <w:r w:rsidR="007943CC">
        <w:t>Queensland Government</w:t>
      </w:r>
      <w:r w:rsidR="008D5F1C">
        <w:t xml:space="preserve"> third</w:t>
      </w:r>
      <w:r w:rsidR="007943CC">
        <w:t xml:space="preserve"> </w:t>
      </w:r>
      <w:r w:rsidR="008D5F1C">
        <w:t>Annual</w:t>
      </w:r>
      <w:r w:rsidR="00E52FA9">
        <w:t xml:space="preserve"> Report on </w:t>
      </w:r>
      <w:r w:rsidR="008D5F1C">
        <w:t xml:space="preserve">implementation of </w:t>
      </w:r>
      <w:r w:rsidR="00E52FA9">
        <w:t>recommendations of the Royal Commission</w:t>
      </w:r>
      <w:r w:rsidR="002519DE">
        <w:t xml:space="preserve"> in the Legislative Assembly</w:t>
      </w:r>
      <w:r w:rsidR="007943CC">
        <w:t>.</w:t>
      </w:r>
    </w:p>
    <w:p w14:paraId="60DBFD66" w14:textId="316BE1F6" w:rsidR="003637A2" w:rsidRDefault="007943CC" w:rsidP="009070FB">
      <w:pPr>
        <w:pStyle w:val="BodyText"/>
        <w:numPr>
          <w:ilvl w:val="0"/>
          <w:numId w:val="4"/>
        </w:numPr>
        <w:spacing w:before="240"/>
        <w:ind w:left="357" w:hanging="357"/>
        <w:jc w:val="both"/>
      </w:pPr>
      <w:r w:rsidRPr="00F270D6">
        <w:rPr>
          <w:u w:val="single"/>
        </w:rPr>
        <w:t>Cabinet</w:t>
      </w:r>
      <w:r w:rsidRPr="00F270D6">
        <w:rPr>
          <w:spacing w:val="-3"/>
          <w:u w:val="single"/>
        </w:rPr>
        <w:t xml:space="preserve"> app</w:t>
      </w:r>
      <w:r>
        <w:rPr>
          <w:spacing w:val="-3"/>
          <w:u w:val="single"/>
        </w:rPr>
        <w:t>roved</w:t>
      </w:r>
      <w:r w:rsidRPr="007943CC">
        <w:rPr>
          <w:spacing w:val="-3"/>
        </w:rPr>
        <w:t xml:space="preserve"> </w:t>
      </w:r>
      <w:r w:rsidR="00E52FA9">
        <w:t xml:space="preserve">a </w:t>
      </w:r>
      <w:r w:rsidR="00313D02">
        <w:t>c</w:t>
      </w:r>
      <w:r w:rsidR="008D5F1C">
        <w:t>onsultation</w:t>
      </w:r>
      <w:r w:rsidR="00E52FA9">
        <w:t xml:space="preserve"> </w:t>
      </w:r>
      <w:r w:rsidR="00313D02">
        <w:t>p</w:t>
      </w:r>
      <w:r w:rsidR="00E52FA9">
        <w:t xml:space="preserve">aper to support </w:t>
      </w:r>
      <w:r>
        <w:t xml:space="preserve">initial </w:t>
      </w:r>
      <w:r w:rsidR="00E52FA9">
        <w:t>targeted consultation to inform the</w:t>
      </w:r>
      <w:r w:rsidR="00863554">
        <w:t xml:space="preserve"> </w:t>
      </w:r>
      <w:r w:rsidR="00863554" w:rsidRPr="001240C9">
        <w:t xml:space="preserve">development </w:t>
      </w:r>
      <w:r w:rsidR="008D5F1C" w:rsidRPr="001240C9">
        <w:t xml:space="preserve">of </w:t>
      </w:r>
      <w:r w:rsidR="008B5EC4" w:rsidRPr="001240C9">
        <w:t xml:space="preserve">options for </w:t>
      </w:r>
      <w:r w:rsidR="00863554" w:rsidRPr="001240C9">
        <w:t>a Queensland</w:t>
      </w:r>
      <w:r w:rsidR="00863554" w:rsidRPr="008D5F1C">
        <w:t xml:space="preserve"> approach to implementation of the Royal Commission’s child safe standards and a reportable conduct scheme</w:t>
      </w:r>
      <w:r w:rsidR="00020C98" w:rsidRPr="008D5F1C">
        <w:t>.</w:t>
      </w:r>
    </w:p>
    <w:p w14:paraId="72952883" w14:textId="7D43DC88" w:rsidR="003637A2" w:rsidRPr="00992993" w:rsidRDefault="00020C98" w:rsidP="001165E1">
      <w:pPr>
        <w:pStyle w:val="BodyText"/>
        <w:numPr>
          <w:ilvl w:val="0"/>
          <w:numId w:val="4"/>
        </w:numPr>
        <w:spacing w:before="240"/>
        <w:ind w:left="357" w:hanging="357"/>
        <w:jc w:val="both"/>
        <w:rPr>
          <w:i/>
          <w:iCs/>
          <w:u w:val="single"/>
        </w:rPr>
      </w:pPr>
      <w:r w:rsidRPr="00992993">
        <w:rPr>
          <w:i/>
          <w:iCs/>
          <w:u w:val="single"/>
        </w:rPr>
        <w:t>Attachment</w:t>
      </w:r>
      <w:r w:rsidR="00992993">
        <w:t>:</w:t>
      </w:r>
    </w:p>
    <w:p w14:paraId="1B9CC0CF" w14:textId="2246B969" w:rsidR="00F32AB8" w:rsidRDefault="00463647" w:rsidP="00D255E6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hanging="425"/>
        <w:jc w:val="both"/>
      </w:pPr>
      <w:hyperlink r:id="rId10" w:history="1">
        <w:r w:rsidR="00E52FA9" w:rsidRPr="0038211A">
          <w:rPr>
            <w:rStyle w:val="Hyperlink"/>
          </w:rPr>
          <w:t xml:space="preserve">The Queensland Government’s </w:t>
        </w:r>
        <w:r w:rsidR="008D5F1C" w:rsidRPr="0038211A">
          <w:rPr>
            <w:rStyle w:val="Hyperlink"/>
          </w:rPr>
          <w:t>t</w:t>
        </w:r>
        <w:r w:rsidR="00E52FA9" w:rsidRPr="0038211A">
          <w:rPr>
            <w:rStyle w:val="Hyperlink"/>
          </w:rPr>
          <w:t>hird Annual Report on recommendations of the Royal Commission into Institutional Responses to Child Sexual Abuse</w:t>
        </w:r>
      </w:hyperlink>
    </w:p>
    <w:sectPr w:rsidR="00F32AB8" w:rsidSect="001165E1">
      <w:headerReference w:type="default" r:id="rId11"/>
      <w:pgSz w:w="11910" w:h="16840" w:code="9"/>
      <w:pgMar w:top="238" w:right="1134" w:bottom="24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B1B8" w14:textId="77777777" w:rsidR="00531810" w:rsidRDefault="00531810" w:rsidP="001E7F23">
      <w:r>
        <w:separator/>
      </w:r>
    </w:p>
  </w:endnote>
  <w:endnote w:type="continuationSeparator" w:id="0">
    <w:p w14:paraId="5EC09DA9" w14:textId="77777777" w:rsidR="00531810" w:rsidRDefault="00531810" w:rsidP="001E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F84A" w14:textId="77777777" w:rsidR="00531810" w:rsidRDefault="00531810" w:rsidP="001E7F23">
      <w:r>
        <w:separator/>
      </w:r>
    </w:p>
  </w:footnote>
  <w:footnote w:type="continuationSeparator" w:id="0">
    <w:p w14:paraId="2B6B4876" w14:textId="77777777" w:rsidR="00531810" w:rsidRDefault="00531810" w:rsidP="001E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4338" w14:textId="77777777" w:rsidR="001E7F23" w:rsidRPr="00937A4A" w:rsidRDefault="001E7F23" w:rsidP="001E7F2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6D876A79" w14:textId="77777777" w:rsidR="001E7F23" w:rsidRPr="00937A4A" w:rsidRDefault="001E7F23" w:rsidP="001E7F2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F0C8775" w14:textId="48646C99" w:rsidR="001E7F23" w:rsidRPr="00937A4A" w:rsidRDefault="001E7F23" w:rsidP="001E7F2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1B0EF1">
      <w:rPr>
        <w:b/>
      </w:rPr>
      <w:t>February 2021</w:t>
    </w:r>
  </w:p>
  <w:p w14:paraId="1EB59C1A" w14:textId="20E1EC60" w:rsidR="001E7F23" w:rsidRDefault="001B0EF1" w:rsidP="001E7F23">
    <w:pPr>
      <w:pStyle w:val="Header"/>
      <w:spacing w:before="120"/>
      <w:rPr>
        <w:b/>
        <w:u w:val="single"/>
      </w:rPr>
    </w:pPr>
    <w:r>
      <w:rPr>
        <w:b/>
        <w:u w:val="single"/>
      </w:rPr>
      <w:t>Third Annual Implementation Report – Royal Commission into Institutional Response to Child Sexual Abuse</w:t>
    </w:r>
  </w:p>
  <w:p w14:paraId="38324A04" w14:textId="75A19E10" w:rsidR="001E7F23" w:rsidRDefault="001E7F23" w:rsidP="001E7F23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F32056">
      <w:rPr>
        <w:b/>
        <w:u w:val="single"/>
      </w:rPr>
      <w:t xml:space="preserve"> for Children and Youth Justice and Minister for Multicultural Affairs</w:t>
    </w:r>
  </w:p>
  <w:p w14:paraId="5439C27F" w14:textId="05357E4A" w:rsidR="002465BB" w:rsidRDefault="002465BB" w:rsidP="009070FB">
    <w:pPr>
      <w:pStyle w:val="Header"/>
      <w:rPr>
        <w:b/>
        <w:u w:val="single"/>
      </w:rPr>
    </w:pPr>
    <w:r>
      <w:rPr>
        <w:b/>
        <w:u w:val="single"/>
      </w:rPr>
      <w:t>Attorney-General and Minister for Justice, Minister for Women and Minister for the Prevention of Domestic and Family Violence</w:t>
    </w:r>
  </w:p>
  <w:p w14:paraId="703A8D49" w14:textId="77777777" w:rsidR="005B19FE" w:rsidRPr="00232B17" w:rsidRDefault="005B19FE" w:rsidP="00232B17">
    <w:pPr>
      <w:pStyle w:val="Header"/>
      <w:pBdr>
        <w:bottom w:val="single" w:sz="4" w:space="1" w:color="auto"/>
      </w:pBdr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4CD3"/>
    <w:multiLevelType w:val="hybridMultilevel"/>
    <w:tmpl w:val="1FE4E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56CD"/>
    <w:multiLevelType w:val="hybridMultilevel"/>
    <w:tmpl w:val="827E8CD2"/>
    <w:lvl w:ilvl="0" w:tplc="E0D83A40">
      <w:start w:val="1"/>
      <w:numFmt w:val="decimal"/>
      <w:lvlText w:val="%1."/>
      <w:lvlJc w:val="left"/>
      <w:pPr>
        <w:ind w:left="694" w:hanging="361"/>
      </w:pPr>
      <w:rPr>
        <w:rFonts w:ascii="Arial" w:eastAsia="Arial" w:hAnsi="Arial" w:cs="Arial" w:hint="default"/>
        <w:i w:val="0"/>
        <w:spacing w:val="-4"/>
        <w:w w:val="99"/>
        <w:sz w:val="22"/>
        <w:szCs w:val="22"/>
      </w:rPr>
    </w:lvl>
    <w:lvl w:ilvl="1" w:tplc="3C16618E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2" w:tplc="16D4260E">
      <w:numFmt w:val="bullet"/>
      <w:lvlText w:val="•"/>
      <w:lvlJc w:val="left"/>
      <w:pPr>
        <w:ind w:left="1140" w:hanging="361"/>
      </w:pPr>
      <w:rPr>
        <w:rFonts w:hint="default"/>
      </w:rPr>
    </w:lvl>
    <w:lvl w:ilvl="3" w:tplc="3722649E">
      <w:numFmt w:val="bullet"/>
      <w:lvlText w:val="•"/>
      <w:lvlJc w:val="left"/>
      <w:pPr>
        <w:ind w:left="2285" w:hanging="361"/>
      </w:pPr>
      <w:rPr>
        <w:rFonts w:hint="default"/>
      </w:rPr>
    </w:lvl>
    <w:lvl w:ilvl="4" w:tplc="786C3FD2">
      <w:numFmt w:val="bullet"/>
      <w:lvlText w:val="•"/>
      <w:lvlJc w:val="left"/>
      <w:pPr>
        <w:ind w:left="3431" w:hanging="361"/>
      </w:pPr>
      <w:rPr>
        <w:rFonts w:hint="default"/>
      </w:rPr>
    </w:lvl>
    <w:lvl w:ilvl="5" w:tplc="C8B66920">
      <w:numFmt w:val="bullet"/>
      <w:lvlText w:val="•"/>
      <w:lvlJc w:val="left"/>
      <w:pPr>
        <w:ind w:left="4576" w:hanging="361"/>
      </w:pPr>
      <w:rPr>
        <w:rFonts w:hint="default"/>
      </w:rPr>
    </w:lvl>
    <w:lvl w:ilvl="6" w:tplc="59BCEC12">
      <w:numFmt w:val="bullet"/>
      <w:lvlText w:val="•"/>
      <w:lvlJc w:val="left"/>
      <w:pPr>
        <w:ind w:left="5722" w:hanging="361"/>
      </w:pPr>
      <w:rPr>
        <w:rFonts w:hint="default"/>
      </w:rPr>
    </w:lvl>
    <w:lvl w:ilvl="7" w:tplc="19FAED18">
      <w:numFmt w:val="bullet"/>
      <w:lvlText w:val="•"/>
      <w:lvlJc w:val="left"/>
      <w:pPr>
        <w:ind w:left="6867" w:hanging="361"/>
      </w:pPr>
      <w:rPr>
        <w:rFonts w:hint="default"/>
      </w:rPr>
    </w:lvl>
    <w:lvl w:ilvl="8" w:tplc="715E8C88">
      <w:numFmt w:val="bullet"/>
      <w:lvlText w:val="•"/>
      <w:lvlJc w:val="left"/>
      <w:pPr>
        <w:ind w:left="8013" w:hanging="361"/>
      </w:pPr>
      <w:rPr>
        <w:rFonts w:hint="default"/>
      </w:rPr>
    </w:lvl>
  </w:abstractNum>
  <w:abstractNum w:abstractNumId="2" w15:restartNumberingAfterBreak="0">
    <w:nsid w:val="262D3895"/>
    <w:multiLevelType w:val="multilevel"/>
    <w:tmpl w:val="D5DE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F09AD"/>
    <w:multiLevelType w:val="hybridMultilevel"/>
    <w:tmpl w:val="3A8ECB64"/>
    <w:lvl w:ilvl="0" w:tplc="31A608C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A2"/>
    <w:rsid w:val="00020C98"/>
    <w:rsid w:val="00033AE6"/>
    <w:rsid w:val="0007074A"/>
    <w:rsid w:val="0008047C"/>
    <w:rsid w:val="00082849"/>
    <w:rsid w:val="00094A3A"/>
    <w:rsid w:val="000969B4"/>
    <w:rsid w:val="000D171A"/>
    <w:rsid w:val="000E20CF"/>
    <w:rsid w:val="000F082F"/>
    <w:rsid w:val="000F4FE0"/>
    <w:rsid w:val="001165E1"/>
    <w:rsid w:val="001240C9"/>
    <w:rsid w:val="00156EDE"/>
    <w:rsid w:val="00160AAF"/>
    <w:rsid w:val="001B0EF1"/>
    <w:rsid w:val="001D5E17"/>
    <w:rsid w:val="001E2EDA"/>
    <w:rsid w:val="001E7F23"/>
    <w:rsid w:val="00232B17"/>
    <w:rsid w:val="00242461"/>
    <w:rsid w:val="002465BB"/>
    <w:rsid w:val="002519DE"/>
    <w:rsid w:val="0027532A"/>
    <w:rsid w:val="00282C15"/>
    <w:rsid w:val="002A118A"/>
    <w:rsid w:val="002B39D4"/>
    <w:rsid w:val="002F49F5"/>
    <w:rsid w:val="00313D02"/>
    <w:rsid w:val="003637A2"/>
    <w:rsid w:val="0037443F"/>
    <w:rsid w:val="0038211A"/>
    <w:rsid w:val="00382E81"/>
    <w:rsid w:val="003D01B4"/>
    <w:rsid w:val="003F6089"/>
    <w:rsid w:val="00403C3C"/>
    <w:rsid w:val="00406A58"/>
    <w:rsid w:val="00430933"/>
    <w:rsid w:val="00463647"/>
    <w:rsid w:val="0048285D"/>
    <w:rsid w:val="004976A6"/>
    <w:rsid w:val="004C542C"/>
    <w:rsid w:val="004D38CD"/>
    <w:rsid w:val="004E103A"/>
    <w:rsid w:val="00531810"/>
    <w:rsid w:val="0053668F"/>
    <w:rsid w:val="0055732F"/>
    <w:rsid w:val="00562E9E"/>
    <w:rsid w:val="0059353A"/>
    <w:rsid w:val="005A48DA"/>
    <w:rsid w:val="005B0F9B"/>
    <w:rsid w:val="005B19FE"/>
    <w:rsid w:val="005C20D7"/>
    <w:rsid w:val="005C6648"/>
    <w:rsid w:val="00696BE1"/>
    <w:rsid w:val="006F2AE1"/>
    <w:rsid w:val="007048FF"/>
    <w:rsid w:val="007059C9"/>
    <w:rsid w:val="007128D4"/>
    <w:rsid w:val="00726339"/>
    <w:rsid w:val="0072709A"/>
    <w:rsid w:val="0074088F"/>
    <w:rsid w:val="0074711E"/>
    <w:rsid w:val="007943CC"/>
    <w:rsid w:val="007A2B8F"/>
    <w:rsid w:val="007A6788"/>
    <w:rsid w:val="007C4743"/>
    <w:rsid w:val="007F242B"/>
    <w:rsid w:val="00814F58"/>
    <w:rsid w:val="0083200E"/>
    <w:rsid w:val="00837FAE"/>
    <w:rsid w:val="00853D20"/>
    <w:rsid w:val="00863554"/>
    <w:rsid w:val="00885F4E"/>
    <w:rsid w:val="008B1AF5"/>
    <w:rsid w:val="008B5EC4"/>
    <w:rsid w:val="008D5F1C"/>
    <w:rsid w:val="008E0B57"/>
    <w:rsid w:val="009070FB"/>
    <w:rsid w:val="00942818"/>
    <w:rsid w:val="00992993"/>
    <w:rsid w:val="009B134D"/>
    <w:rsid w:val="009B5AB7"/>
    <w:rsid w:val="00A00FD2"/>
    <w:rsid w:val="00A354D3"/>
    <w:rsid w:val="00A93A3D"/>
    <w:rsid w:val="00AE0981"/>
    <w:rsid w:val="00AF0BB8"/>
    <w:rsid w:val="00B07373"/>
    <w:rsid w:val="00B1160B"/>
    <w:rsid w:val="00B16AD9"/>
    <w:rsid w:val="00B263AE"/>
    <w:rsid w:val="00B359E2"/>
    <w:rsid w:val="00BA1FA5"/>
    <w:rsid w:val="00BD6226"/>
    <w:rsid w:val="00BF19F6"/>
    <w:rsid w:val="00C53371"/>
    <w:rsid w:val="00C60F63"/>
    <w:rsid w:val="00C85DA2"/>
    <w:rsid w:val="00C918DA"/>
    <w:rsid w:val="00C96213"/>
    <w:rsid w:val="00CB6194"/>
    <w:rsid w:val="00CD375A"/>
    <w:rsid w:val="00CE45D6"/>
    <w:rsid w:val="00CE667C"/>
    <w:rsid w:val="00D03F9B"/>
    <w:rsid w:val="00D22C35"/>
    <w:rsid w:val="00D255E6"/>
    <w:rsid w:val="00D55F88"/>
    <w:rsid w:val="00D92B45"/>
    <w:rsid w:val="00DA24A3"/>
    <w:rsid w:val="00E52FA9"/>
    <w:rsid w:val="00E6061D"/>
    <w:rsid w:val="00E71674"/>
    <w:rsid w:val="00E82931"/>
    <w:rsid w:val="00EB362A"/>
    <w:rsid w:val="00ED1521"/>
    <w:rsid w:val="00EE6682"/>
    <w:rsid w:val="00EF46F0"/>
    <w:rsid w:val="00F10B60"/>
    <w:rsid w:val="00F270D6"/>
    <w:rsid w:val="00F3081F"/>
    <w:rsid w:val="00F32056"/>
    <w:rsid w:val="00F32AB8"/>
    <w:rsid w:val="00F45F00"/>
    <w:rsid w:val="00F65766"/>
    <w:rsid w:val="00F72BBC"/>
    <w:rsid w:val="00F91AFE"/>
    <w:rsid w:val="00FA1C85"/>
    <w:rsid w:val="00FD5F5B"/>
    <w:rsid w:val="00FE5236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16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6" w:right="85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"/>
      <w:ind w:left="33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Recommendation,List Paragraph11,bullet point list,Bullet point,Bulleted Para,NFP GP Bulleted List,FooterText,numbered,Paragraphe de liste1,Bulletr List Paragraph,列出段落,列出段落1,List Paragraph2,List Paragraph21,Listeafsnit1,Parágrafo da Lista1"/>
    <w:basedOn w:val="Normal"/>
    <w:link w:val="ListParagraphChar"/>
    <w:uiPriority w:val="34"/>
    <w:qFormat/>
    <w:pPr>
      <w:spacing w:before="118"/>
      <w:ind w:left="69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0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8F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9C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9C9"/>
    <w:rPr>
      <w:rFonts w:ascii="Arial" w:eastAsia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Recommendation Char,List Paragraph11 Char,bullet point list Char,Bullet point Char,Bulleted Para Char,NFP GP Bulleted List Char,FooterText Char,numbered Char,Paragraphe de liste1 Char,Bulletr List Paragraph Char,列出段落 Char,列出段落1 Char"/>
    <w:link w:val="ListParagraph"/>
    <w:uiPriority w:val="34"/>
    <w:qFormat/>
    <w:locked/>
    <w:rsid w:val="001E2ED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E7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F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7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F2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821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3E59-45DD-45D3-BBF8-1DA79CBD3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68051-37CC-4098-A616-36BCEE15E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A3B28B-9BF3-4248-810A-5A60FFD73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414</Words>
  <Characters>2561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- 20170516 CPRA Bill 2017 Att 5 Proactive Release.docx</vt:lpstr>
    </vt:vector>
  </TitlesOfParts>
  <Company/>
  <LinksUpToDate>false</LinksUpToDate>
  <CharactersWithSpaces>2973</CharactersWithSpaces>
  <SharedDoc>false</SharedDoc>
  <HyperlinkBase>https://www.cabinet.qld.gov.au/documents/2021/Feb/3rd Anual Report - RC child sexual abuse/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- 20170516 CPRA Bill 2017 Att 5 Proactive Release.docx</dc:title>
  <dc:subject/>
  <dc:creator/>
  <cp:keywords/>
  <dc:description/>
  <cp:lastModifiedBy/>
  <cp:revision>65</cp:revision>
  <cp:lastPrinted>2021-01-18T00:21:00Z</cp:lastPrinted>
  <dcterms:created xsi:type="dcterms:W3CDTF">2020-07-10T08:27:00Z</dcterms:created>
  <dcterms:modified xsi:type="dcterms:W3CDTF">2021-11-03T06:35:00Z</dcterms:modified>
  <cp:category>Parliament,Justice,Legislation,Violence,Child_Safety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2017-05-24T00:00:00Z</vt:filetime>
  </property>
  <property fmtid="{D5CDD505-2E9C-101B-9397-08002B2CF9AE}" pid="5" name="ContentTypeId">
    <vt:lpwstr>0x010100DDE14CFDD070B24F85F5DE43654FF01E</vt:lpwstr>
  </property>
</Properties>
</file>